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heading=h.a3qdk2hhrexi"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jc w:val="right"/>
        <w:rPr>
          <w:sz w:val="40"/>
          <w:szCs w:val="40"/>
        </w:rPr>
      </w:pPr>
      <w:r w:rsidDel="00000000" w:rsidR="00000000" w:rsidRPr="00000000">
        <w:rPr>
          <w:color w:val="538135"/>
          <w:sz w:val="40"/>
          <w:szCs w:val="40"/>
          <w:rtl w:val="0"/>
        </w:rPr>
        <w:t xml:space="preserve"> </w:t>
      </w:r>
      <w:r w:rsidDel="00000000" w:rsidR="00000000" w:rsidRPr="00000000">
        <w:rPr>
          <w:rtl w:val="0"/>
        </w:rPr>
      </w:r>
    </w:p>
    <w:p w:rsidR="00000000" w:rsidDel="00000000" w:rsidP="00000000" w:rsidRDefault="00000000" w:rsidRPr="00000000" w14:paraId="00000004">
      <w:pPr>
        <w:jc w:val="center"/>
        <w:rPr>
          <w:sz w:val="40"/>
          <w:szCs w:val="40"/>
        </w:rPr>
      </w:pPr>
      <w:r w:rsidDel="00000000" w:rsidR="00000000" w:rsidRPr="00000000">
        <w:rPr>
          <w:sz w:val="40"/>
          <w:szCs w:val="40"/>
          <w:rtl w:val="0"/>
        </w:rPr>
        <w:t xml:space="preserve">Share Withdrawal Request Form</w:t>
      </w:r>
    </w:p>
    <w:p w:rsidR="00000000" w:rsidDel="00000000" w:rsidP="00000000" w:rsidRDefault="00000000" w:rsidRPr="00000000" w14:paraId="00000005">
      <w:pPr>
        <w:pStyle w:val="Heading1"/>
        <w:jc w:val="center"/>
        <w:rPr>
          <w:rFonts w:ascii="Calibri" w:cs="Calibri" w:eastAsia="Calibri" w:hAnsi="Calibri"/>
          <w:color w:val="000000"/>
          <w:sz w:val="28"/>
          <w:szCs w:val="28"/>
        </w:rPr>
      </w:pPr>
      <w:bookmarkStart w:colFirst="0" w:colLast="0" w:name="_heading=h.5hrldwwtzgbc" w:id="1"/>
      <w:bookmarkEnd w:id="1"/>
      <w:r w:rsidDel="00000000" w:rsidR="00000000" w:rsidRPr="00000000">
        <w:rPr>
          <w:rFonts w:ascii="Calibri" w:cs="Calibri" w:eastAsia="Calibri" w:hAnsi="Calibri"/>
          <w:color w:val="000000"/>
          <w:sz w:val="28"/>
          <w:szCs w:val="28"/>
          <w:rtl w:val="0"/>
        </w:rPr>
        <w:t xml:space="preserve">Please note you need to have held shares for a minimum of 3 years for us to consider a share withdrawal request.</w:t>
      </w:r>
    </w:p>
    <w:p w:rsidR="00000000" w:rsidDel="00000000" w:rsidP="00000000" w:rsidRDefault="00000000" w:rsidRPr="00000000" w14:paraId="00000006">
      <w:pPr>
        <w:pStyle w:val="Heading1"/>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Withdrawal requests will be handled in accordance with the Share Withdrawal Policy and the BWCS Rules.  See Appendix A &amp; B</w:t>
      </w:r>
    </w:p>
    <w:p w:rsidR="00000000" w:rsidDel="00000000" w:rsidP="00000000" w:rsidRDefault="00000000" w:rsidRPr="00000000" w14:paraId="00000007">
      <w:pPr>
        <w:pStyle w:val="Heading1"/>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Date:  </w:t>
      </w:r>
    </w:p>
    <w:p w:rsidR="00000000" w:rsidDel="00000000" w:rsidP="00000000" w:rsidRDefault="00000000" w:rsidRPr="00000000" w14:paraId="00000008">
      <w:pPr>
        <w:pStyle w:val="Heading1"/>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Address:</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Number of shares currently held:</w:t>
      </w:r>
    </w:p>
    <w:p w:rsidR="00000000" w:rsidDel="00000000" w:rsidP="00000000" w:rsidRDefault="00000000" w:rsidRPr="00000000" w14:paraId="0000000E">
      <w:pPr>
        <w:rPr>
          <w:sz w:val="28"/>
          <w:szCs w:val="28"/>
        </w:rPr>
      </w:pPr>
      <w:r w:rsidDel="00000000" w:rsidR="00000000" w:rsidRPr="00000000">
        <w:rPr>
          <w:sz w:val="28"/>
          <w:szCs w:val="28"/>
          <w:rtl w:val="0"/>
        </w:rPr>
        <w:t xml:space="preserve">Share Certificate Number if known: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Email Address:</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Number of Shares you wish to withdraw:</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jc w:val="center"/>
        <w:rPr>
          <w:b w:val="1"/>
          <w:sz w:val="28"/>
          <w:szCs w:val="28"/>
        </w:rPr>
      </w:pPr>
      <w:r w:rsidDel="00000000" w:rsidR="00000000" w:rsidRPr="00000000">
        <w:rPr>
          <w:b w:val="1"/>
          <w:sz w:val="28"/>
          <w:szCs w:val="28"/>
          <w:rtl w:val="0"/>
        </w:rPr>
        <w:t xml:space="preserve">Please note that if you wish to remain a Member, you will need to hold a minimum of 1 share. Each share is worth £10.00.</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Bank Account details for the transfer: </w:t>
        <w:tab/>
      </w:r>
    </w:p>
    <w:p w:rsidR="00000000" w:rsidDel="00000000" w:rsidP="00000000" w:rsidRDefault="00000000" w:rsidRPr="00000000" w14:paraId="00000017">
      <w:pPr>
        <w:ind w:left="2160" w:firstLine="720"/>
        <w:rPr>
          <w:sz w:val="28"/>
          <w:szCs w:val="28"/>
        </w:rPr>
      </w:pPr>
      <w:r w:rsidDel="00000000" w:rsidR="00000000" w:rsidRPr="00000000">
        <w:rPr>
          <w:sz w:val="28"/>
          <w:szCs w:val="28"/>
          <w:rtl w:val="0"/>
        </w:rPr>
        <w:t xml:space="preserve">Account in the name of:</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ind w:left="2160" w:firstLine="720"/>
        <w:rPr>
          <w:sz w:val="28"/>
          <w:szCs w:val="28"/>
        </w:rPr>
      </w:pPr>
      <w:r w:rsidDel="00000000" w:rsidR="00000000" w:rsidRPr="00000000">
        <w:rPr>
          <w:sz w:val="28"/>
          <w:szCs w:val="28"/>
          <w:rtl w:val="0"/>
        </w:rPr>
        <w:t xml:space="preserve">Sort Code:</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ind w:left="2160" w:firstLine="720"/>
        <w:rPr>
          <w:sz w:val="28"/>
          <w:szCs w:val="28"/>
        </w:rPr>
      </w:pPr>
      <w:r w:rsidDel="00000000" w:rsidR="00000000" w:rsidRPr="00000000">
        <w:rPr>
          <w:sz w:val="28"/>
          <w:szCs w:val="28"/>
          <w:rtl w:val="0"/>
        </w:rPr>
        <w:t xml:space="preserve">Account Number:</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Signature:                                                                          Date:</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1440" w:right="0" w:hanging="72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Appendix A – extract from the Bishop Wilton Community Shop Rules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Shares are not transferable except on death or bankruptcy, and are withdrawable at the sole discretion of the Management Committee in accordance with the Rules as follows:</w:t>
      </w:r>
    </w:p>
    <w:p w:rsidR="00000000" w:rsidDel="00000000" w:rsidP="00000000" w:rsidRDefault="00000000" w:rsidRPr="00000000" w14:paraId="0000002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shares may be withdrawn by Members who have held them for a minimum period of three years or such other period as the Management Committee decides;</w:t>
      </w:r>
    </w:p>
    <w:p w:rsidR="00000000" w:rsidDel="00000000" w:rsidP="00000000" w:rsidRDefault="00000000" w:rsidRPr="00000000" w14:paraId="0000002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for withdrawal shall be made on not less than three months’ notice, on a form approved by the Management Committee;</w:t>
      </w:r>
    </w:p>
    <w:p w:rsidR="00000000" w:rsidDel="00000000" w:rsidP="00000000" w:rsidRDefault="00000000" w:rsidRPr="00000000" w14:paraId="0000002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Management Committee may specify a maximum total withdrawal for each financial year;</w:t>
      </w:r>
    </w:p>
    <w:p w:rsidR="00000000" w:rsidDel="00000000" w:rsidP="00000000" w:rsidRDefault="00000000" w:rsidRPr="00000000" w14:paraId="000000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withdrawals must be funded from trading profits, reserves or new share capital raised from Members, and are at the absolute discretion of the Management Committee having regards to the long term interests of the Society, the need to maintain prudent reserves, and the Society’s commitment to community benefit.  If any withdrawal is to be funded from reserves, the Management Committee must be satisfied that: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0" w:line="240" w:lineRule="auto"/>
        <w:ind w:left="3781" w:right="0" w:hanging="126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result of such withdrawal there will be no ground upon which the Society could then be found to be unable to pay (or otherwise discharge) its debts; and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0" w:line="240" w:lineRule="auto"/>
        <w:ind w:left="3781"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0" w:line="240" w:lineRule="auto"/>
        <w:ind w:left="3781" w:right="0" w:hanging="126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Society will be able to pay (or otherwise discharge) its debts as they fall due during the year immediately following the withdrawal.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8.4.5</w:t>
        <w:tab/>
        <w:t xml:space="preserve">all withdrawals shall be paid in accordance with the Society’s policy on share withdrawals. If no such policy exists, all withdrawals shall be paid in the order in which the notices were received, up to a maximum total withdrawal specified for the financial year, following which no further withdrawals may be made until the following financial year;</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where a Member intends to terminate their membership, they shall not be permitted to withdraw shares leaving them with less than the minimum required by the Rules;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Management Committee may in its absolute discretion waive the notice required for a withdrawal and may direct payment to be made without notice or on such shorter notice as it considers appropriate;</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Management Committee may suspend the right to withdraw either wholly or partially, and either indefinitely or for a fixed period.  The suspension shall apply to all notices of withdrawal which have been received and remain unpaid at the time.  Where the suspension is for a fixed period, it may be extended from time to time by the Management Committee;</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any period when the right of withdrawal has been suspended, the shares of a deceased Member may, if the Management Committee agrees, be withdrawn by their personal representatives on giving such notice as the Management Committee requires;</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520"/>
          <w:tab w:val="left" w:leader="none" w:pos="3787"/>
          <w:tab w:val="left" w:leader="none" w:pos="4507"/>
        </w:tabs>
        <w:spacing w:after="0" w:before="120" w:line="240" w:lineRule="auto"/>
        <w:ind w:left="3330" w:right="0" w:hanging="10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Society may deduct such reasonable sum to cover administrative costs of withdrawal from the monies payable to a Member on the withdrawal of shares.</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sz w:val="28"/>
          <w:szCs w:val="28"/>
          <w:rtl w:val="0"/>
        </w:rPr>
        <w:t xml:space="preserve">Appendix B.</w:t>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b w:val="1"/>
          <w:sz w:val="28"/>
          <w:szCs w:val="28"/>
        </w:rPr>
      </w:pPr>
      <w:r w:rsidDel="00000000" w:rsidR="00000000" w:rsidRPr="00000000">
        <w:rPr>
          <w:b w:val="1"/>
          <w:sz w:val="28"/>
          <w:szCs w:val="28"/>
          <w:rtl w:val="0"/>
        </w:rPr>
        <w:t xml:space="preserve">Bishop Wilton Community Shop Ltd</w:t>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Share Withdrawal Policy</w:t>
      </w:r>
    </w:p>
    <w:p w:rsidR="00000000" w:rsidDel="00000000" w:rsidP="00000000" w:rsidRDefault="00000000" w:rsidRPr="00000000" w14:paraId="0000003A">
      <w:pPr>
        <w:rPr>
          <w:sz w:val="28"/>
          <w:szCs w:val="28"/>
        </w:rPr>
      </w:pPr>
      <w:r w:rsidDel="00000000" w:rsidR="00000000" w:rsidRPr="00000000">
        <w:rPr>
          <w:sz w:val="28"/>
          <w:szCs w:val="28"/>
          <w:rtl w:val="0"/>
        </w:rPr>
        <w:br w:type="textWrapping"/>
      </w:r>
    </w:p>
    <w:tbl>
      <w:tblPr>
        <w:tblStyle w:val="Table1"/>
        <w:tblW w:w="6645.0" w:type="dxa"/>
        <w:jc w:val="left"/>
        <w:tblLayout w:type="fixed"/>
        <w:tblLook w:val="0400"/>
      </w:tblPr>
      <w:tblGrid>
        <w:gridCol w:w="3561"/>
        <w:gridCol w:w="3084"/>
        <w:tblGridChange w:id="0">
          <w:tblGrid>
            <w:gridCol w:w="3561"/>
            <w:gridCol w:w="3084"/>
          </w:tblGrid>
        </w:tblGridChange>
      </w:tblGrid>
      <w:tr>
        <w:trPr>
          <w:cantSplit w:val="0"/>
          <w:trHeight w:val="1022"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3B">
            <w:pPr>
              <w:rPr>
                <w:b w:val="1"/>
                <w:sz w:val="28"/>
                <w:szCs w:val="28"/>
              </w:rPr>
            </w:pPr>
            <w:r w:rsidDel="00000000" w:rsidR="00000000" w:rsidRPr="00000000">
              <w:rPr>
                <w:sz w:val="28"/>
                <w:szCs w:val="28"/>
                <w:rtl w:val="0"/>
              </w:rPr>
              <w:t xml:space="preserve">First produced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3C">
            <w:pPr>
              <w:rPr>
                <w:b w:val="1"/>
                <w:sz w:val="28"/>
                <w:szCs w:val="28"/>
              </w:rPr>
            </w:pPr>
            <w:r w:rsidDel="00000000" w:rsidR="00000000" w:rsidRPr="00000000">
              <w:rPr>
                <w:sz w:val="28"/>
                <w:szCs w:val="28"/>
                <w:rtl w:val="0"/>
              </w:rPr>
              <w:t xml:space="preserve">September 2022</w:t>
            </w:r>
            <w:r w:rsidDel="00000000" w:rsidR="00000000" w:rsidRPr="00000000">
              <w:rPr>
                <w:rtl w:val="0"/>
              </w:rPr>
            </w:r>
          </w:p>
        </w:tc>
      </w:tr>
      <w:tr>
        <w:trPr>
          <w:cantSplit w:val="0"/>
          <w:trHeight w:val="1066"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3D">
            <w:pPr>
              <w:rPr>
                <w:b w:val="1"/>
                <w:sz w:val="28"/>
                <w:szCs w:val="28"/>
              </w:rPr>
            </w:pPr>
            <w:r w:rsidDel="00000000" w:rsidR="00000000" w:rsidRPr="00000000">
              <w:rPr>
                <w:sz w:val="28"/>
                <w:szCs w:val="28"/>
                <w:rtl w:val="0"/>
              </w:rPr>
              <w:t xml:space="preserve">Approved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3E">
            <w:pPr>
              <w:rPr>
                <w:b w:val="1"/>
                <w:sz w:val="28"/>
                <w:szCs w:val="28"/>
              </w:rPr>
            </w:pPr>
            <w:r w:rsidDel="00000000" w:rsidR="00000000" w:rsidRPr="00000000">
              <w:rPr>
                <w:sz w:val="28"/>
                <w:szCs w:val="28"/>
                <w:rtl w:val="0"/>
              </w:rPr>
              <w:t xml:space="preserve">20</w:t>
            </w:r>
            <w:r w:rsidDel="00000000" w:rsidR="00000000" w:rsidRPr="00000000">
              <w:rPr>
                <w:sz w:val="28"/>
                <w:szCs w:val="28"/>
                <w:vertAlign w:val="superscript"/>
                <w:rtl w:val="0"/>
              </w:rPr>
              <w:t xml:space="preserve">th</w:t>
            </w:r>
            <w:r w:rsidDel="00000000" w:rsidR="00000000" w:rsidRPr="00000000">
              <w:rPr>
                <w:sz w:val="28"/>
                <w:szCs w:val="28"/>
                <w:rtl w:val="0"/>
              </w:rPr>
              <w:t xml:space="preserve"> October 2022</w:t>
            </w:r>
            <w:r w:rsidDel="00000000" w:rsidR="00000000" w:rsidRPr="00000000">
              <w:rPr>
                <w:rtl w:val="0"/>
              </w:rPr>
            </w:r>
          </w:p>
        </w:tc>
      </w:tr>
      <w:tr>
        <w:trPr>
          <w:cantSplit w:val="0"/>
          <w:trHeight w:val="2000"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3F">
            <w:pPr>
              <w:rPr>
                <w:b w:val="1"/>
                <w:sz w:val="28"/>
                <w:szCs w:val="28"/>
              </w:rPr>
            </w:pPr>
            <w:r w:rsidDel="00000000" w:rsidR="00000000" w:rsidRPr="00000000">
              <w:rPr>
                <w:sz w:val="28"/>
                <w:szCs w:val="28"/>
                <w:rtl w:val="0"/>
              </w:rPr>
              <w:t xml:space="preserve">Revised version approved 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40">
            <w:pPr>
              <w:rPr>
                <w:sz w:val="28"/>
                <w:szCs w:val="28"/>
              </w:rPr>
            </w:pPr>
            <w:r w:rsidDel="00000000" w:rsidR="00000000" w:rsidRPr="00000000">
              <w:rPr>
                <w:rtl w:val="0"/>
              </w:rPr>
            </w:r>
          </w:p>
        </w:tc>
      </w:tr>
      <w:tr>
        <w:trPr>
          <w:cantSplit w:val="0"/>
          <w:trHeight w:val="1066"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41">
            <w:pPr>
              <w:rPr>
                <w:b w:val="1"/>
                <w:sz w:val="28"/>
                <w:szCs w:val="28"/>
              </w:rPr>
            </w:pPr>
            <w:r w:rsidDel="00000000" w:rsidR="00000000" w:rsidRPr="00000000">
              <w:rPr>
                <w:sz w:val="28"/>
                <w:szCs w:val="28"/>
                <w:rtl w:val="0"/>
              </w:rPr>
              <w:t xml:space="preserve">Approved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42">
            <w:pPr>
              <w:rPr>
                <w:b w:val="1"/>
                <w:sz w:val="28"/>
                <w:szCs w:val="28"/>
              </w:rPr>
            </w:pPr>
            <w:r w:rsidDel="00000000" w:rsidR="00000000" w:rsidRPr="00000000">
              <w:rPr>
                <w:sz w:val="28"/>
                <w:szCs w:val="28"/>
                <w:rtl w:val="0"/>
              </w:rPr>
              <w:t xml:space="preserve">Management Committee</w:t>
            </w:r>
            <w:r w:rsidDel="00000000" w:rsidR="00000000" w:rsidRPr="00000000">
              <w:rPr>
                <w:rtl w:val="0"/>
              </w:rPr>
            </w:r>
          </w:p>
        </w:tc>
      </w:tr>
      <w:tr>
        <w:trPr>
          <w:cantSplit w:val="0"/>
          <w:trHeight w:val="2000"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43">
            <w:pPr>
              <w:rPr>
                <w:b w:val="1"/>
                <w:sz w:val="28"/>
                <w:szCs w:val="28"/>
              </w:rPr>
            </w:pPr>
            <w:r w:rsidDel="00000000" w:rsidR="00000000" w:rsidRPr="00000000">
              <w:rPr>
                <w:sz w:val="28"/>
                <w:szCs w:val="28"/>
                <w:rtl w:val="0"/>
              </w:rPr>
              <w:t xml:space="preserve">To be reviewed no later than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108.0" w:type="dxa"/>
              <w:bottom w:w="0.0" w:type="dxa"/>
              <w:right w:w="108.0" w:type="dxa"/>
            </w:tcMar>
          </w:tcPr>
          <w:p w:rsidR="00000000" w:rsidDel="00000000" w:rsidP="00000000" w:rsidRDefault="00000000" w:rsidRPr="00000000" w14:paraId="00000044">
            <w:pPr>
              <w:rPr>
                <w:b w:val="1"/>
                <w:sz w:val="28"/>
                <w:szCs w:val="28"/>
              </w:rPr>
            </w:pPr>
            <w:r w:rsidDel="00000000" w:rsidR="00000000" w:rsidRPr="00000000">
              <w:rPr>
                <w:sz w:val="28"/>
                <w:szCs w:val="28"/>
                <w:rtl w:val="0"/>
              </w:rPr>
              <w:t xml:space="preserve">19</w:t>
            </w:r>
            <w:r w:rsidDel="00000000" w:rsidR="00000000" w:rsidRPr="00000000">
              <w:rPr>
                <w:sz w:val="28"/>
                <w:szCs w:val="28"/>
                <w:vertAlign w:val="superscript"/>
                <w:rtl w:val="0"/>
              </w:rPr>
              <w:t xml:space="preserve">th</w:t>
            </w:r>
            <w:r w:rsidDel="00000000" w:rsidR="00000000" w:rsidRPr="00000000">
              <w:rPr>
                <w:sz w:val="28"/>
                <w:szCs w:val="28"/>
                <w:rtl w:val="0"/>
              </w:rPr>
              <w:t xml:space="preserve"> October 2025</w:t>
            </w:r>
            <w:r w:rsidDel="00000000" w:rsidR="00000000" w:rsidRPr="00000000">
              <w:rPr>
                <w:rtl w:val="0"/>
              </w:rPr>
            </w:r>
          </w:p>
        </w:tc>
      </w:tr>
    </w:tbl>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sz w:val="28"/>
          <w:szCs w:val="28"/>
          <w:rtl w:val="0"/>
        </w:rPr>
        <w:t xml:space="preserve">General policy statement</w:t>
      </w: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numPr>
          <w:ilvl w:val="0"/>
          <w:numId w:val="1"/>
        </w:numPr>
        <w:ind w:left="567" w:hanging="567"/>
        <w:rPr>
          <w:sz w:val="28"/>
          <w:szCs w:val="28"/>
        </w:rPr>
      </w:pPr>
      <w:r w:rsidDel="00000000" w:rsidR="00000000" w:rsidRPr="00000000">
        <w:rPr>
          <w:sz w:val="28"/>
          <w:szCs w:val="28"/>
          <w:rtl w:val="0"/>
        </w:rPr>
        <w:t xml:space="preserve">Bishop Wilton Community Shop Ltd (BWCS) is a registered Community Benefit Society under the Co-operatives and Community Benefit Society Act 2014 and is owned by its members, the majority of whom are residents of the village of Bishop Wilton. The Society operates from the shop premises on Main Street, Bishop Wilton, in East Yorkshire and delivers various services for the benefit of residents of Bishop Wilton the wider area and visitors to the area.  BWCS is a socially responsible business committed to commercial viability whilst upholding the highest standards with regards to business operations. This policy forms part of those standards of good practice.</w:t>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sz w:val="28"/>
          <w:szCs w:val="28"/>
          <w:rtl w:val="0"/>
        </w:rPr>
        <w:t xml:space="preserve">Background</w:t>
      </w:r>
      <w:r w:rsidDel="00000000" w:rsidR="00000000" w:rsidRPr="00000000">
        <w:rPr>
          <w:rtl w:val="0"/>
        </w:rPr>
      </w:r>
    </w:p>
    <w:p w:rsidR="00000000" w:rsidDel="00000000" w:rsidP="00000000" w:rsidRDefault="00000000" w:rsidRPr="00000000" w14:paraId="0000004C">
      <w:pPr>
        <w:numPr>
          <w:ilvl w:val="0"/>
          <w:numId w:val="1"/>
        </w:numPr>
        <w:ind w:left="567" w:hanging="567"/>
        <w:rPr>
          <w:sz w:val="28"/>
          <w:szCs w:val="28"/>
        </w:rPr>
      </w:pPr>
      <w:r w:rsidDel="00000000" w:rsidR="00000000" w:rsidRPr="00000000">
        <w:rPr>
          <w:sz w:val="28"/>
          <w:szCs w:val="28"/>
          <w:rtl w:val="0"/>
        </w:rPr>
        <w:t xml:space="preserve">To be a member you need to hold at least one share in BWCS. We encourage as many members as possible and as stated in the share prospectus shareholders should think of their shares as a long term or permanent investment in the community.  </w:t>
      </w:r>
    </w:p>
    <w:p w:rsidR="00000000" w:rsidDel="00000000" w:rsidP="00000000" w:rsidRDefault="00000000" w:rsidRPr="00000000" w14:paraId="0000004D">
      <w:pPr>
        <w:numPr>
          <w:ilvl w:val="0"/>
          <w:numId w:val="1"/>
        </w:numPr>
        <w:ind w:left="567" w:hanging="567"/>
        <w:rPr>
          <w:sz w:val="28"/>
          <w:szCs w:val="28"/>
        </w:rPr>
      </w:pPr>
      <w:r w:rsidDel="00000000" w:rsidR="00000000" w:rsidRPr="00000000">
        <w:rPr>
          <w:sz w:val="28"/>
          <w:szCs w:val="28"/>
          <w:rtl w:val="0"/>
        </w:rPr>
        <w:t xml:space="preserve">However, as set out in the BWCS Rules section 8, shares held for a minimum period of three years or such other period as the Management Committee decides are withdrawable at the sole discretion of the Management Committee. The Rules also allow the Management Committee to specify a maximum total withdrawal for each financial year or to suspend withdrawals. </w:t>
      </w:r>
    </w:p>
    <w:p w:rsidR="00000000" w:rsidDel="00000000" w:rsidP="00000000" w:rsidRDefault="00000000" w:rsidRPr="00000000" w14:paraId="0000004E">
      <w:pPr>
        <w:numPr>
          <w:ilvl w:val="0"/>
          <w:numId w:val="1"/>
        </w:numPr>
        <w:ind w:left="567" w:hanging="567"/>
        <w:rPr>
          <w:sz w:val="28"/>
          <w:szCs w:val="28"/>
        </w:rPr>
      </w:pPr>
      <w:r w:rsidDel="00000000" w:rsidR="00000000" w:rsidRPr="00000000">
        <w:rPr>
          <w:sz w:val="28"/>
          <w:szCs w:val="28"/>
          <w:rtl w:val="0"/>
        </w:rPr>
        <w:t xml:space="preserve"> </w:t>
      </w:r>
    </w:p>
    <w:p w:rsidR="00000000" w:rsidDel="00000000" w:rsidP="00000000" w:rsidRDefault="00000000" w:rsidRPr="00000000" w14:paraId="0000004F">
      <w:pPr>
        <w:numPr>
          <w:ilvl w:val="0"/>
          <w:numId w:val="1"/>
        </w:numPr>
        <w:ind w:left="567" w:hanging="567"/>
        <w:rPr>
          <w:sz w:val="28"/>
          <w:szCs w:val="28"/>
        </w:rPr>
      </w:pPr>
      <w:r w:rsidDel="00000000" w:rsidR="00000000" w:rsidRPr="00000000">
        <w:rPr>
          <w:sz w:val="28"/>
          <w:szCs w:val="28"/>
          <w:rtl w:val="0"/>
        </w:rPr>
        <w:t xml:space="preserve">This policy on share withdrawal is referred to in section 8 of the Rules and provides clarity to members around how and when they can request share withdrawal.</w:t>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numPr>
          <w:ilvl w:val="0"/>
          <w:numId w:val="1"/>
        </w:numPr>
        <w:ind w:left="567" w:hanging="567"/>
        <w:rPr>
          <w:sz w:val="28"/>
          <w:szCs w:val="28"/>
        </w:rPr>
      </w:pPr>
      <w:r w:rsidDel="00000000" w:rsidR="00000000" w:rsidRPr="00000000">
        <w:rPr>
          <w:sz w:val="28"/>
          <w:szCs w:val="28"/>
          <w:rtl w:val="0"/>
        </w:rPr>
        <w:t xml:space="preserve">The FCA sets out a number tests of whether a society is meeting its conditions for registration, which includes that it should only allow the withdrawal of shares if:</w:t>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numPr>
          <w:ilvl w:val="0"/>
          <w:numId w:val="2"/>
        </w:numPr>
        <w:ind w:left="720" w:hanging="360"/>
        <w:rPr>
          <w:sz w:val="28"/>
          <w:szCs w:val="28"/>
        </w:rPr>
      </w:pPr>
      <w:r w:rsidDel="00000000" w:rsidR="00000000" w:rsidRPr="00000000">
        <w:rPr>
          <w:sz w:val="28"/>
          <w:szCs w:val="28"/>
          <w:rtl w:val="0"/>
        </w:rPr>
        <w:t xml:space="preserve">it has trading surpluses that match or exceed the value of shares involved; and </w:t>
      </w:r>
    </w:p>
    <w:p w:rsidR="00000000" w:rsidDel="00000000" w:rsidP="00000000" w:rsidRDefault="00000000" w:rsidRPr="00000000" w14:paraId="00000054">
      <w:pPr>
        <w:numPr>
          <w:ilvl w:val="0"/>
          <w:numId w:val="2"/>
        </w:numPr>
        <w:ind w:left="720" w:hanging="360"/>
        <w:rPr>
          <w:sz w:val="28"/>
          <w:szCs w:val="28"/>
        </w:rPr>
      </w:pPr>
      <w:r w:rsidDel="00000000" w:rsidR="00000000" w:rsidRPr="00000000">
        <w:rPr>
          <w:sz w:val="28"/>
          <w:szCs w:val="28"/>
          <w:rtl w:val="0"/>
        </w:rPr>
        <w:t xml:space="preserve">the directors believe the society can afford to pay its debts, taking into account:</w:t>
      </w:r>
    </w:p>
    <w:p w:rsidR="00000000" w:rsidDel="00000000" w:rsidP="00000000" w:rsidRDefault="00000000" w:rsidRPr="00000000" w14:paraId="00000055">
      <w:pPr>
        <w:numPr>
          <w:ilvl w:val="0"/>
          <w:numId w:val="3"/>
        </w:numPr>
        <w:ind w:left="720" w:hanging="360"/>
        <w:rPr>
          <w:sz w:val="28"/>
          <w:szCs w:val="28"/>
        </w:rPr>
      </w:pPr>
      <w:r w:rsidDel="00000000" w:rsidR="00000000" w:rsidRPr="00000000">
        <w:rPr>
          <w:sz w:val="28"/>
          <w:szCs w:val="28"/>
          <w:rtl w:val="0"/>
        </w:rPr>
        <w:t xml:space="preserve">all of its liabilities (including whether it will be able to pay its debts at the date of withdrawal and, for a year after that, any contingent or prospective liabilities) and </w:t>
      </w:r>
    </w:p>
    <w:p w:rsidR="00000000" w:rsidDel="00000000" w:rsidP="00000000" w:rsidRDefault="00000000" w:rsidRPr="00000000" w14:paraId="00000056">
      <w:pPr>
        <w:numPr>
          <w:ilvl w:val="0"/>
          <w:numId w:val="3"/>
        </w:numPr>
        <w:ind w:left="720" w:hanging="360"/>
        <w:rPr>
          <w:sz w:val="28"/>
          <w:szCs w:val="28"/>
        </w:rPr>
      </w:pPr>
      <w:r w:rsidDel="00000000" w:rsidR="00000000" w:rsidRPr="00000000">
        <w:rPr>
          <w:sz w:val="28"/>
          <w:szCs w:val="28"/>
          <w:rtl w:val="0"/>
        </w:rPr>
        <w:t xml:space="preserve">the society’s situation at the date of the transaction </w:t>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numPr>
          <w:ilvl w:val="0"/>
          <w:numId w:val="1"/>
        </w:numPr>
        <w:ind w:left="567" w:hanging="567"/>
        <w:rPr>
          <w:sz w:val="28"/>
          <w:szCs w:val="28"/>
        </w:rPr>
      </w:pPr>
      <w:r w:rsidDel="00000000" w:rsidR="00000000" w:rsidRPr="00000000">
        <w:rPr>
          <w:sz w:val="28"/>
          <w:szCs w:val="28"/>
          <w:rtl w:val="0"/>
        </w:rPr>
        <w:t xml:space="preserve">Under BWCS rules, each share will never be worth more than £10 and you may under exceptional circumstances be offered less.</w:t>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rPr>
          <w:sz w:val="28"/>
          <w:szCs w:val="28"/>
          <w:rtl w:val="0"/>
        </w:rPr>
        <w:t xml:space="preserve">Converting shares to donations</w:t>
      </w:r>
      <w:r w:rsidDel="00000000" w:rsidR="00000000" w:rsidRPr="00000000">
        <w:rPr>
          <w:rtl w:val="0"/>
        </w:rPr>
      </w:r>
    </w:p>
    <w:p w:rsidR="00000000" w:rsidDel="00000000" w:rsidP="00000000" w:rsidRDefault="00000000" w:rsidRPr="00000000" w14:paraId="0000005D">
      <w:pPr>
        <w:numPr>
          <w:ilvl w:val="0"/>
          <w:numId w:val="1"/>
        </w:numPr>
        <w:ind w:left="567" w:hanging="567"/>
        <w:rPr>
          <w:sz w:val="28"/>
          <w:szCs w:val="28"/>
        </w:rPr>
      </w:pPr>
      <w:r w:rsidDel="00000000" w:rsidR="00000000" w:rsidRPr="00000000">
        <w:rPr>
          <w:sz w:val="28"/>
          <w:szCs w:val="28"/>
          <w:rtl w:val="0"/>
        </w:rPr>
        <w:t xml:space="preserve">Some members may have bought shares but actually see them as a donation. If so, they may formally surrender some of your shares back to the Society, which means that the shares are cancelled, and the original investment becomes a donation. To retain membership of the Society, they would need to retain a minimum of one £10 share.  This can be arranged by contacting the Secretary on </w:t>
      </w:r>
      <w:hyperlink r:id="rId7">
        <w:r w:rsidDel="00000000" w:rsidR="00000000" w:rsidRPr="00000000">
          <w:rPr>
            <w:color w:val="0563c1"/>
            <w:sz w:val="28"/>
            <w:szCs w:val="28"/>
            <w:u w:val="single"/>
            <w:rtl w:val="0"/>
          </w:rPr>
          <w:t xml:space="preserve">bishopwiltonshop@gmail.com</w:t>
        </w:r>
      </w:hyperlink>
      <w:r w:rsidDel="00000000" w:rsidR="00000000" w:rsidRPr="00000000">
        <w:rPr>
          <w:sz w:val="28"/>
          <w:szCs w:val="28"/>
          <w:rtl w:val="0"/>
        </w:rPr>
        <w:t xml:space="preserve">.</w:t>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b w:val="1"/>
          <w:sz w:val="28"/>
          <w:szCs w:val="28"/>
        </w:rPr>
      </w:pPr>
      <w:r w:rsidDel="00000000" w:rsidR="00000000" w:rsidRPr="00000000">
        <w:rPr>
          <w:sz w:val="28"/>
          <w:szCs w:val="28"/>
          <w:rtl w:val="0"/>
        </w:rPr>
        <w:t xml:space="preserve">Share Withdrawal Process</w:t>
      </w:r>
      <w:r w:rsidDel="00000000" w:rsidR="00000000" w:rsidRPr="00000000">
        <w:rPr>
          <w:rtl w:val="0"/>
        </w:rPr>
      </w:r>
    </w:p>
    <w:p w:rsidR="00000000" w:rsidDel="00000000" w:rsidP="00000000" w:rsidRDefault="00000000" w:rsidRPr="00000000" w14:paraId="00000060">
      <w:pPr>
        <w:numPr>
          <w:ilvl w:val="0"/>
          <w:numId w:val="1"/>
        </w:numPr>
        <w:ind w:left="567" w:hanging="567"/>
        <w:rPr>
          <w:sz w:val="28"/>
          <w:szCs w:val="28"/>
        </w:rPr>
      </w:pPr>
      <w:r w:rsidDel="00000000" w:rsidR="00000000" w:rsidRPr="00000000">
        <w:rPr>
          <w:sz w:val="28"/>
          <w:szCs w:val="28"/>
          <w:rtl w:val="0"/>
        </w:rPr>
        <w:t xml:space="preserve">In order to make the withdrawal process as fair and transparent as possible the following process has been agreed.</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numPr>
          <w:ilvl w:val="0"/>
          <w:numId w:val="1"/>
        </w:numPr>
        <w:ind w:left="567" w:hanging="567"/>
        <w:rPr>
          <w:sz w:val="28"/>
          <w:szCs w:val="28"/>
        </w:rPr>
      </w:pPr>
      <w:r w:rsidDel="00000000" w:rsidR="00000000" w:rsidRPr="00000000">
        <w:rPr>
          <w:sz w:val="28"/>
          <w:szCs w:val="28"/>
          <w:rtl w:val="0"/>
        </w:rPr>
        <w:t xml:space="preserve">Members may request the withdrawal of some or all of their shares that have been held for at least 3 years by completing the Share Withdrawal Request Form which can be found on our website at bwcommunityshop.co.uk in the Downloads’ area, or by requesting a copy from the Secretary. The form should be returned by email to </w:t>
      </w:r>
      <w:hyperlink r:id="rId8">
        <w:r w:rsidDel="00000000" w:rsidR="00000000" w:rsidRPr="00000000">
          <w:rPr>
            <w:color w:val="0563c1"/>
            <w:sz w:val="28"/>
            <w:szCs w:val="28"/>
            <w:u w:val="single"/>
            <w:rtl w:val="0"/>
          </w:rPr>
          <w:t xml:space="preserve">bishopwiltonshop@gmail.com</w:t>
        </w:r>
      </w:hyperlink>
      <w:r w:rsidDel="00000000" w:rsidR="00000000" w:rsidRPr="00000000">
        <w:rPr>
          <w:sz w:val="28"/>
          <w:szCs w:val="28"/>
          <w:rtl w:val="0"/>
        </w:rPr>
        <w:t xml:space="preserve"> or post to The Secretary, Bishop Wilton Community Shop, Main Street, Bishop Wilton, YO42 1SR. </w:t>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numPr>
          <w:ilvl w:val="0"/>
          <w:numId w:val="1"/>
        </w:numPr>
        <w:ind w:left="567" w:hanging="567"/>
        <w:rPr>
          <w:sz w:val="28"/>
          <w:szCs w:val="28"/>
        </w:rPr>
      </w:pPr>
      <w:r w:rsidDel="00000000" w:rsidR="00000000" w:rsidRPr="00000000">
        <w:rPr>
          <w:sz w:val="28"/>
          <w:szCs w:val="28"/>
          <w:rtl w:val="0"/>
        </w:rPr>
        <w:t xml:space="preserve">For any year that we make a profit, the intention is to make available a proportion of profits for the repayment of any share withdrawals. The maximum amount available for share withdrawals will be determined by the Management Committee, based on:</w:t>
      </w:r>
    </w:p>
    <w:p w:rsidR="00000000" w:rsidDel="00000000" w:rsidP="00000000" w:rsidRDefault="00000000" w:rsidRPr="00000000" w14:paraId="00000065">
      <w:pPr>
        <w:rPr>
          <w:sz w:val="28"/>
          <w:szCs w:val="28"/>
        </w:rPr>
      </w:pPr>
      <w:r w:rsidDel="00000000" w:rsidR="00000000" w:rsidRPr="00000000">
        <w:rPr>
          <w:sz w:val="28"/>
          <w:szCs w:val="28"/>
          <w:rtl w:val="0"/>
        </w:rPr>
        <w:br w:type="textWrapping"/>
      </w:r>
    </w:p>
    <w:p w:rsidR="00000000" w:rsidDel="00000000" w:rsidP="00000000" w:rsidRDefault="00000000" w:rsidRPr="00000000" w14:paraId="00000066">
      <w:pPr>
        <w:numPr>
          <w:ilvl w:val="0"/>
          <w:numId w:val="4"/>
        </w:numPr>
        <w:ind w:left="720" w:hanging="360"/>
        <w:rPr>
          <w:sz w:val="28"/>
          <w:szCs w:val="28"/>
        </w:rPr>
      </w:pPr>
      <w:r w:rsidDel="00000000" w:rsidR="00000000" w:rsidRPr="00000000">
        <w:rPr>
          <w:sz w:val="28"/>
          <w:szCs w:val="28"/>
          <w:rtl w:val="0"/>
        </w:rPr>
        <w:t xml:space="preserve">The financial return for the financial year to 30</w:t>
      </w:r>
      <w:r w:rsidDel="00000000" w:rsidR="00000000" w:rsidRPr="00000000">
        <w:rPr>
          <w:sz w:val="28"/>
          <w:szCs w:val="28"/>
          <w:vertAlign w:val="superscript"/>
          <w:rtl w:val="0"/>
        </w:rPr>
        <w:t xml:space="preserve">th</w:t>
      </w:r>
      <w:r w:rsidDel="00000000" w:rsidR="00000000" w:rsidRPr="00000000">
        <w:rPr>
          <w:sz w:val="28"/>
          <w:szCs w:val="28"/>
          <w:rtl w:val="0"/>
        </w:rPr>
        <w:t xml:space="preserve"> June</w:t>
      </w:r>
    </w:p>
    <w:p w:rsidR="00000000" w:rsidDel="00000000" w:rsidP="00000000" w:rsidRDefault="00000000" w:rsidRPr="00000000" w14:paraId="00000067">
      <w:pPr>
        <w:numPr>
          <w:ilvl w:val="0"/>
          <w:numId w:val="4"/>
        </w:numPr>
        <w:ind w:left="720" w:hanging="360"/>
        <w:rPr>
          <w:sz w:val="28"/>
          <w:szCs w:val="28"/>
        </w:rPr>
      </w:pPr>
      <w:r w:rsidDel="00000000" w:rsidR="00000000" w:rsidRPr="00000000">
        <w:rPr>
          <w:sz w:val="28"/>
          <w:szCs w:val="28"/>
          <w:rtl w:val="0"/>
        </w:rPr>
        <w:t xml:space="preserve">New share purchases</w:t>
      </w:r>
    </w:p>
    <w:p w:rsidR="00000000" w:rsidDel="00000000" w:rsidP="00000000" w:rsidRDefault="00000000" w:rsidRPr="00000000" w14:paraId="00000068">
      <w:pPr>
        <w:numPr>
          <w:ilvl w:val="0"/>
          <w:numId w:val="4"/>
        </w:numPr>
        <w:ind w:left="720" w:hanging="360"/>
        <w:rPr>
          <w:sz w:val="28"/>
          <w:szCs w:val="28"/>
        </w:rPr>
      </w:pPr>
      <w:r w:rsidDel="00000000" w:rsidR="00000000" w:rsidRPr="00000000">
        <w:rPr>
          <w:sz w:val="28"/>
          <w:szCs w:val="28"/>
          <w:rtl w:val="0"/>
        </w:rPr>
        <w:t xml:space="preserve">The  BWCS Rules</w:t>
      </w:r>
    </w:p>
    <w:p w:rsidR="00000000" w:rsidDel="00000000" w:rsidP="00000000" w:rsidRDefault="00000000" w:rsidRPr="00000000" w14:paraId="00000069">
      <w:pPr>
        <w:numPr>
          <w:ilvl w:val="0"/>
          <w:numId w:val="4"/>
        </w:numPr>
        <w:ind w:left="720" w:hanging="360"/>
        <w:rPr>
          <w:sz w:val="28"/>
          <w:szCs w:val="28"/>
        </w:rPr>
      </w:pPr>
      <w:r w:rsidDel="00000000" w:rsidR="00000000" w:rsidRPr="00000000">
        <w:rPr>
          <w:sz w:val="28"/>
          <w:szCs w:val="28"/>
          <w:rtl w:val="0"/>
        </w:rPr>
        <w:t xml:space="preserve">The value of withdrawals requested up to the 30</w:t>
      </w:r>
      <w:r w:rsidDel="00000000" w:rsidR="00000000" w:rsidRPr="00000000">
        <w:rPr>
          <w:sz w:val="28"/>
          <w:szCs w:val="28"/>
          <w:vertAlign w:val="superscript"/>
          <w:rtl w:val="0"/>
        </w:rPr>
        <w:t xml:space="preserve">th</w:t>
      </w:r>
      <w:r w:rsidDel="00000000" w:rsidR="00000000" w:rsidRPr="00000000">
        <w:rPr>
          <w:sz w:val="28"/>
          <w:szCs w:val="28"/>
          <w:rtl w:val="0"/>
        </w:rPr>
        <w:t xml:space="preserve"> June  (e.g. the amount set for repayments to be made following the AMM the previous year will take account of the value of share withdrawal requests received by 30</w:t>
      </w:r>
      <w:r w:rsidDel="00000000" w:rsidR="00000000" w:rsidRPr="00000000">
        <w:rPr>
          <w:sz w:val="28"/>
          <w:szCs w:val="28"/>
          <w:vertAlign w:val="superscript"/>
          <w:rtl w:val="0"/>
        </w:rPr>
        <w:t xml:space="preserve">th</w:t>
      </w:r>
      <w:r w:rsidDel="00000000" w:rsidR="00000000" w:rsidRPr="00000000">
        <w:rPr>
          <w:sz w:val="28"/>
          <w:szCs w:val="28"/>
          <w:rtl w:val="0"/>
        </w:rPr>
        <w:t xml:space="preserve"> June). </w:t>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numPr>
          <w:ilvl w:val="0"/>
          <w:numId w:val="1"/>
        </w:numPr>
        <w:ind w:left="567" w:hanging="567"/>
        <w:rPr>
          <w:sz w:val="28"/>
          <w:szCs w:val="28"/>
        </w:rPr>
      </w:pPr>
      <w:r w:rsidDel="00000000" w:rsidR="00000000" w:rsidRPr="00000000">
        <w:rPr>
          <w:sz w:val="28"/>
          <w:szCs w:val="28"/>
          <w:rtl w:val="0"/>
        </w:rPr>
        <w:t xml:space="preserve">In exceptional circumstances the Management Committee may also choose to take into account brought forward reserves from prior years in determining the amount available for share withdrawals. </w:t>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numPr>
          <w:ilvl w:val="0"/>
          <w:numId w:val="1"/>
        </w:numPr>
        <w:ind w:left="567" w:hanging="567"/>
        <w:rPr>
          <w:sz w:val="28"/>
          <w:szCs w:val="28"/>
        </w:rPr>
      </w:pPr>
      <w:r w:rsidDel="00000000" w:rsidR="00000000" w:rsidRPr="00000000">
        <w:rPr>
          <w:sz w:val="28"/>
          <w:szCs w:val="28"/>
          <w:rtl w:val="0"/>
        </w:rPr>
        <w:t xml:space="preserve">Share withdrawals will be prioritised on a first come first served basis, subject to an initial cap of £1,000 per member if the total value of share withdrawals requested exceeds the amount allocated by the Management Committee for withdrawals for that year. </w:t>
      </w:r>
    </w:p>
    <w:p w:rsidR="00000000" w:rsidDel="00000000" w:rsidP="00000000" w:rsidRDefault="00000000" w:rsidRPr="00000000" w14:paraId="0000006E">
      <w:pPr>
        <w:numPr>
          <w:ilvl w:val="0"/>
          <w:numId w:val="1"/>
        </w:numPr>
        <w:ind w:left="567" w:hanging="567"/>
        <w:rPr>
          <w:sz w:val="28"/>
          <w:szCs w:val="28"/>
        </w:rPr>
      </w:pPr>
      <w:r w:rsidDel="00000000" w:rsidR="00000000" w:rsidRPr="00000000">
        <w:rPr>
          <w:sz w:val="28"/>
          <w:szCs w:val="28"/>
          <w:rtl w:val="0"/>
        </w:rPr>
        <w:t xml:space="preserve">On the death of a member, shares may be transferred to another party. However, if the wish is for those shares to be withdrawn, BWCS will deal with any request due to death of a member in the same way as other requests. Shares may also be bequeathed back to the Society if desired. </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numPr>
          <w:ilvl w:val="0"/>
          <w:numId w:val="1"/>
        </w:numPr>
        <w:ind w:left="567" w:hanging="567"/>
        <w:rPr>
          <w:sz w:val="28"/>
          <w:szCs w:val="28"/>
        </w:rPr>
      </w:pPr>
      <w:r w:rsidDel="00000000" w:rsidR="00000000" w:rsidRPr="00000000">
        <w:rPr>
          <w:sz w:val="28"/>
          <w:szCs w:val="28"/>
          <w:rtl w:val="0"/>
        </w:rPr>
        <w:t xml:space="preserve">Any share withdrawal requests received before 30</w:t>
      </w:r>
      <w:r w:rsidDel="00000000" w:rsidR="00000000" w:rsidRPr="00000000">
        <w:rPr>
          <w:sz w:val="28"/>
          <w:szCs w:val="28"/>
          <w:vertAlign w:val="superscript"/>
          <w:rtl w:val="0"/>
        </w:rPr>
        <w:t xml:space="preserve">th</w:t>
      </w:r>
      <w:r w:rsidDel="00000000" w:rsidR="00000000" w:rsidRPr="00000000">
        <w:rPr>
          <w:sz w:val="28"/>
          <w:szCs w:val="28"/>
          <w:rtl w:val="0"/>
        </w:rPr>
        <w:t xml:space="preserve"> June, that cannot be met in full from that year’s allocation, will be transferred into the following year’s allocation and be considered as priority. </w:t>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numPr>
          <w:ilvl w:val="0"/>
          <w:numId w:val="1"/>
        </w:numPr>
        <w:ind w:left="567" w:hanging="567"/>
        <w:rPr>
          <w:sz w:val="28"/>
          <w:szCs w:val="28"/>
        </w:rPr>
      </w:pPr>
      <w:r w:rsidDel="00000000" w:rsidR="00000000" w:rsidRPr="00000000">
        <w:rPr>
          <w:sz w:val="28"/>
          <w:szCs w:val="28"/>
          <w:rtl w:val="0"/>
        </w:rPr>
        <w:t xml:space="preserve">Payments in respect of approved share withdrawals for a year to 30 June will be made immediately following the AMM at which the accounts for that year are reviewed.  If the value of withdrawals requested by the 30</w:t>
      </w:r>
      <w:r w:rsidDel="00000000" w:rsidR="00000000" w:rsidRPr="00000000">
        <w:rPr>
          <w:sz w:val="28"/>
          <w:szCs w:val="28"/>
          <w:vertAlign w:val="superscript"/>
          <w:rtl w:val="0"/>
        </w:rPr>
        <w:t xml:space="preserve">th</w:t>
      </w:r>
      <w:r w:rsidDel="00000000" w:rsidR="00000000" w:rsidRPr="00000000">
        <w:rPr>
          <w:sz w:val="28"/>
          <w:szCs w:val="28"/>
          <w:rtl w:val="0"/>
        </w:rPr>
        <w:t xml:space="preserve"> June is lower than the allocation available for that year share withdrawal requests made between 30 June and 3 months before the date of the AMM may also be considered for repayment following the AMM at the sole discretion of the Management Committee.</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numPr>
          <w:ilvl w:val="0"/>
          <w:numId w:val="1"/>
        </w:numPr>
        <w:ind w:left="567" w:hanging="567"/>
        <w:rPr>
          <w:sz w:val="28"/>
          <w:szCs w:val="28"/>
        </w:rPr>
      </w:pPr>
      <w:r w:rsidDel="00000000" w:rsidR="00000000" w:rsidRPr="00000000">
        <w:rPr>
          <w:sz w:val="28"/>
          <w:szCs w:val="28"/>
          <w:rtl w:val="0"/>
        </w:rPr>
        <w:t xml:space="preserve">In exceptional circumstances, the management committee will at their absolute discretion consider a request from a member for a more immediate payment on withdrawal of shares.</w:t>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Version 6</w:t>
      <w:tab/>
      <w:tab/>
      <w:t xml:space="preserve">Sept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4437380</wp:posOffset>
          </wp:positionH>
          <wp:positionV relativeFrom="margin">
            <wp:posOffset>-745489</wp:posOffset>
          </wp:positionV>
          <wp:extent cx="1475608" cy="1457450"/>
          <wp:effectExtent b="0" l="0" r="0" t="0"/>
          <wp:wrapSquare wrapText="bothSides" distB="0" distT="0" distL="114300" distR="114300"/>
          <wp:docPr descr="A picture containing logo&#10;&#10;Description automatically generated" id="3"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475608" cy="14574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567" w:hanging="567"/>
      </w:pPr>
      <w:rPr>
        <w:b w:val="1"/>
        <w:i w:val="0"/>
        <w:smallCaps w:val="0"/>
        <w:strike w:val="0"/>
        <w:color w:val="840055"/>
        <w:u w:val="none"/>
        <w:vertAlign w:val="baseline"/>
      </w:rPr>
    </w:lvl>
    <w:lvl w:ilvl="1">
      <w:start w:val="4"/>
      <w:numFmt w:val="decimal"/>
      <w:lvlText w:val="%1.%2"/>
      <w:lvlJc w:val="left"/>
      <w:pPr>
        <w:ind w:left="1440" w:hanging="720"/>
      </w:pPr>
      <w:rPr>
        <w:b w:val="0"/>
        <w:i w:val="0"/>
        <w:smallCaps w:val="0"/>
        <w:strike w:val="0"/>
        <w:color w:val="000000"/>
        <w:u w:val="none"/>
        <w:vertAlign w:val="baseline"/>
      </w:rPr>
    </w:lvl>
    <w:lvl w:ilvl="2">
      <w:start w:val="6"/>
      <w:numFmt w:val="decimal"/>
      <w:lvlText w:val="%1.%2.%3"/>
      <w:lvlJc w:val="left"/>
      <w:pPr>
        <w:ind w:left="3330" w:hanging="1080"/>
      </w:pPr>
      <w:rPr>
        <w:b w:val="0"/>
        <w:i w:val="0"/>
        <w:smallCaps w:val="0"/>
        <w:strike w:val="0"/>
        <w:color w:val="000000"/>
        <w:u w:val="none"/>
        <w:vertAlign w:val="baseline"/>
      </w:rPr>
    </w:lvl>
    <w:lvl w:ilvl="3">
      <w:start w:val="1"/>
      <w:numFmt w:val="decimal"/>
      <w:lvlText w:val="%1.%2.%3.%4"/>
      <w:lvlJc w:val="left"/>
      <w:pPr>
        <w:ind w:left="3787" w:hanging="1267"/>
      </w:pPr>
      <w:rPr>
        <w:b w:val="0"/>
        <w:i w:val="0"/>
        <w:smallCaps w:val="0"/>
        <w:strike w:val="0"/>
        <w:color w:val="000000"/>
        <w:u w:val="none"/>
        <w:vertAlign w:val="baseline"/>
      </w:rPr>
    </w:lvl>
    <w:lvl w:ilvl="4">
      <w:start w:val="1"/>
      <w:numFmt w:val="lowerLetter"/>
      <w:lvlText w:val="(%5)"/>
      <w:lvlJc w:val="left"/>
      <w:pPr>
        <w:ind w:left="1440" w:hanging="720"/>
      </w:pPr>
      <w:rPr>
        <w:rFonts w:ascii="Arial" w:cs="Arial" w:eastAsia="Arial" w:hAnsi="Arial"/>
        <w:b w:val="0"/>
        <w:i w:val="0"/>
        <w:smallCaps w:val="0"/>
        <w:strike w:val="0"/>
        <w:color w:val="000000"/>
        <w:u w:val="none"/>
        <w:vertAlign w:val="baseline"/>
      </w:rPr>
    </w:lvl>
    <w:lvl w:ilvl="5">
      <w:start w:val="1"/>
      <w:numFmt w:val="lowerRoman"/>
      <w:lvlText w:val="(%6)"/>
      <w:lvlJc w:val="left"/>
      <w:pPr>
        <w:ind w:left="1440" w:hanging="720"/>
      </w:pPr>
      <w:rPr>
        <w:rFonts w:ascii="Arial" w:cs="Arial" w:eastAsia="Arial" w:hAnsi="Arial"/>
        <w:b w:val="0"/>
        <w:i w:val="0"/>
        <w:smallCaps w:val="0"/>
        <w:strike w:val="0"/>
        <w:color w:val="000000"/>
        <w:u w:val="none"/>
        <w:vertAlign w:val="baseline"/>
      </w:rPr>
    </w:lvl>
    <w:lvl w:ilvl="6">
      <w:start w:val="1"/>
      <w:numFmt w:val="lowerLetter"/>
      <w:lvlText w:val="(%7)"/>
      <w:lvlJc w:val="left"/>
      <w:pPr>
        <w:ind w:left="2520" w:hanging="1080"/>
      </w:pPr>
      <w:rPr>
        <w:rFonts w:ascii="Arial" w:cs="Arial" w:eastAsia="Arial" w:hAnsi="Arial"/>
        <w:b w:val="0"/>
        <w:i w:val="0"/>
        <w:smallCaps w:val="0"/>
        <w:strike w:val="0"/>
        <w:color w:val="000000"/>
        <w:u w:val="none"/>
        <w:vertAlign w:val="baseline"/>
      </w:rPr>
    </w:lvl>
    <w:lvl w:ilvl="7">
      <w:start w:val="1"/>
      <w:numFmt w:val="lowerRoman"/>
      <w:lvlText w:val="(%8)"/>
      <w:lvlJc w:val="left"/>
      <w:pPr>
        <w:ind w:left="2520" w:hanging="1080"/>
      </w:pPr>
      <w:rPr>
        <w:rFonts w:ascii="Arial" w:cs="Arial" w:eastAsia="Arial" w:hAnsi="Arial"/>
        <w:b w:val="0"/>
        <w:i w:val="0"/>
        <w:smallCaps w:val="0"/>
        <w:strike w:val="0"/>
        <w:color w:val="000000"/>
        <w:u w:val="none"/>
        <w:vertAlign w:val="baseline"/>
      </w:rPr>
    </w:lvl>
    <w:lvl w:ilvl="8">
      <w:start w:val="1"/>
      <w:numFmt w:val="bullet"/>
      <w:lvlText w:val="●"/>
      <w:lvlJc w:val="left"/>
      <w:pPr>
        <w:ind w:left="1440" w:hanging="720"/>
      </w:pPr>
      <w:rPr>
        <w:rFonts w:ascii="Noto Sans Symbols" w:cs="Noto Sans Symbols" w:eastAsia="Noto Sans Symbols" w:hAnsi="Noto Sans Symbols"/>
        <w:b w:val="0"/>
        <w:i w:val="0"/>
        <w:smallCaps w:val="0"/>
        <w:strike w:val="0"/>
        <w:color w:val="000000"/>
        <w:u w:val="none"/>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decimal"/>
      <w:lvlText w:val="%1"/>
      <w:lvlJc w:val="left"/>
      <w:pPr>
        <w:ind w:left="567" w:hanging="567"/>
      </w:pPr>
      <w:rPr>
        <w:b w:val="1"/>
        <w:i w:val="0"/>
        <w:smallCaps w:val="0"/>
        <w:strike w:val="0"/>
        <w:color w:val="840055"/>
        <w:u w:val="none"/>
        <w:vertAlign w:val="baseline"/>
      </w:rPr>
    </w:lvl>
    <w:lvl w:ilvl="1">
      <w:start w:val="1"/>
      <w:numFmt w:val="decimal"/>
      <w:lvlText w:val="%1.%2"/>
      <w:lvlJc w:val="left"/>
      <w:pPr>
        <w:ind w:left="1440" w:hanging="720"/>
      </w:pPr>
      <w:rPr>
        <w:b w:val="0"/>
        <w:i w:val="0"/>
        <w:smallCaps w:val="0"/>
        <w:strike w:val="0"/>
        <w:color w:val="000000"/>
        <w:u w:val="none"/>
        <w:vertAlign w:val="baseline"/>
      </w:rPr>
    </w:lvl>
    <w:lvl w:ilvl="2">
      <w:start w:val="1"/>
      <w:numFmt w:val="decimal"/>
      <w:lvlText w:val="%1.%2.%3"/>
      <w:lvlJc w:val="left"/>
      <w:pPr>
        <w:ind w:left="3330" w:hanging="1080"/>
      </w:pPr>
      <w:rPr>
        <w:b w:val="0"/>
        <w:i w:val="0"/>
        <w:smallCaps w:val="0"/>
        <w:strike w:val="0"/>
        <w:color w:val="000000"/>
        <w:u w:val="none"/>
        <w:vertAlign w:val="baseline"/>
      </w:rPr>
    </w:lvl>
    <w:lvl w:ilvl="3">
      <w:start w:val="1"/>
      <w:numFmt w:val="decimal"/>
      <w:lvlText w:val="%1.%2.%3.%4"/>
      <w:lvlJc w:val="left"/>
      <w:pPr>
        <w:ind w:left="3787" w:hanging="1267"/>
      </w:pPr>
      <w:rPr>
        <w:b w:val="0"/>
        <w:i w:val="0"/>
        <w:smallCaps w:val="0"/>
        <w:strike w:val="0"/>
        <w:color w:val="000000"/>
        <w:u w:val="none"/>
        <w:vertAlign w:val="baseline"/>
      </w:rPr>
    </w:lvl>
    <w:lvl w:ilvl="4">
      <w:start w:val="1"/>
      <w:numFmt w:val="lowerLetter"/>
      <w:lvlText w:val="(%5)"/>
      <w:lvlJc w:val="left"/>
      <w:pPr>
        <w:ind w:left="1440" w:hanging="720"/>
      </w:pPr>
      <w:rPr>
        <w:rFonts w:ascii="Arial" w:cs="Arial" w:eastAsia="Arial" w:hAnsi="Arial"/>
        <w:b w:val="0"/>
        <w:i w:val="0"/>
        <w:smallCaps w:val="0"/>
        <w:strike w:val="0"/>
        <w:color w:val="000000"/>
        <w:u w:val="none"/>
        <w:vertAlign w:val="baseline"/>
      </w:rPr>
    </w:lvl>
    <w:lvl w:ilvl="5">
      <w:start w:val="1"/>
      <w:numFmt w:val="lowerRoman"/>
      <w:lvlText w:val="(%6)"/>
      <w:lvlJc w:val="left"/>
      <w:pPr>
        <w:ind w:left="1440" w:hanging="720"/>
      </w:pPr>
      <w:rPr>
        <w:rFonts w:ascii="Arial" w:cs="Arial" w:eastAsia="Arial" w:hAnsi="Arial"/>
        <w:b w:val="0"/>
        <w:i w:val="0"/>
        <w:smallCaps w:val="0"/>
        <w:strike w:val="0"/>
        <w:color w:val="000000"/>
        <w:u w:val="none"/>
        <w:vertAlign w:val="baseline"/>
      </w:rPr>
    </w:lvl>
    <w:lvl w:ilvl="6">
      <w:start w:val="1"/>
      <w:numFmt w:val="lowerLetter"/>
      <w:lvlText w:val="(%7)"/>
      <w:lvlJc w:val="left"/>
      <w:pPr>
        <w:ind w:left="2520" w:hanging="1080"/>
      </w:pPr>
      <w:rPr>
        <w:rFonts w:ascii="Arial" w:cs="Arial" w:eastAsia="Arial" w:hAnsi="Arial"/>
        <w:b w:val="0"/>
        <w:i w:val="0"/>
        <w:smallCaps w:val="0"/>
        <w:strike w:val="0"/>
        <w:color w:val="000000"/>
        <w:u w:val="none"/>
        <w:vertAlign w:val="baseline"/>
      </w:rPr>
    </w:lvl>
    <w:lvl w:ilvl="7">
      <w:start w:val="1"/>
      <w:numFmt w:val="lowerRoman"/>
      <w:lvlText w:val="(%8)"/>
      <w:lvlJc w:val="left"/>
      <w:pPr>
        <w:ind w:left="2520" w:hanging="1080"/>
      </w:pPr>
      <w:rPr>
        <w:rFonts w:ascii="Arial" w:cs="Arial" w:eastAsia="Arial" w:hAnsi="Arial"/>
        <w:b w:val="0"/>
        <w:i w:val="0"/>
        <w:smallCaps w:val="0"/>
        <w:strike w:val="0"/>
        <w:color w:val="000000"/>
        <w:u w:val="none"/>
        <w:vertAlign w:val="baseline"/>
      </w:rPr>
    </w:lvl>
    <w:lvl w:ilvl="8">
      <w:start w:val="1"/>
      <w:numFmt w:val="bullet"/>
      <w:lvlText w:val="●"/>
      <w:lvlJc w:val="left"/>
      <w:pPr>
        <w:ind w:left="1440" w:hanging="720"/>
      </w:pPr>
      <w:rPr>
        <w:rFonts w:ascii="Noto Sans Symbols" w:cs="Noto Sans Symbols" w:eastAsia="Noto Sans Symbols" w:hAnsi="Noto Sans Symbols"/>
        <w:b w:val="0"/>
        <w:i w:val="0"/>
        <w:smallCaps w:val="0"/>
        <w:strike w:val="0"/>
        <w:color w:val="000000"/>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E7EE5"/>
    <w:pPr>
      <w:ind w:left="720"/>
      <w:contextualSpacing w:val="1"/>
    </w:pPr>
  </w:style>
  <w:style w:type="character" w:styleId="Hyperlink">
    <w:name w:val="Hyperlink"/>
    <w:basedOn w:val="DefaultParagraphFont"/>
    <w:uiPriority w:val="99"/>
    <w:unhideWhenUsed w:val="1"/>
    <w:rsid w:val="00EE7EE5"/>
    <w:rPr>
      <w:color w:val="0563c1" w:themeColor="hyperlink"/>
      <w:u w:val="single"/>
    </w:rPr>
  </w:style>
  <w:style w:type="character" w:styleId="Heading2Char" w:customStyle="1">
    <w:name w:val="Heading 2 Char"/>
    <w:basedOn w:val="DefaultParagraphFont"/>
    <w:link w:val="Heading2"/>
    <w:uiPriority w:val="9"/>
    <w:rsid w:val="00EE7EE5"/>
    <w:rPr>
      <w:rFonts w:asciiTheme="majorHAnsi" w:cstheme="majorBidi" w:eastAsiaTheme="majorEastAsia" w:hAnsiTheme="majorHAnsi"/>
      <w:color w:val="2e74b5" w:themeColor="accent1" w:themeShade="0000BF"/>
      <w:sz w:val="26"/>
      <w:szCs w:val="26"/>
    </w:rPr>
  </w:style>
  <w:style w:type="paragraph" w:styleId="Numbering2" w:customStyle="1">
    <w:name w:val="Numbering 2"/>
    <w:rsid w:val="00EA7265"/>
    <w:pPr>
      <w:numPr>
        <w:ilvl w:val="1"/>
        <w:numId w:val="9"/>
      </w:numPr>
      <w:tabs>
        <w:tab w:val="left" w:pos="2520"/>
        <w:tab w:val="left" w:pos="3787"/>
        <w:tab w:val="left" w:pos="4507"/>
      </w:tabs>
      <w:spacing w:before="120" w:line="360" w:lineRule="auto"/>
      <w:jc w:val="both"/>
      <w:outlineLvl w:val="1"/>
    </w:pPr>
    <w:rPr>
      <w:rFonts w:ascii="Arial" w:cs="Arial" w:eastAsia="Times New Roman" w:hAnsi="Arial"/>
      <w:sz w:val="20"/>
      <w:lang w:val="en-GB"/>
    </w:rPr>
  </w:style>
  <w:style w:type="paragraph" w:styleId="Numbering3" w:customStyle="1">
    <w:name w:val="Numbering 3"/>
    <w:basedOn w:val="Numbering2"/>
    <w:rsid w:val="00EA7265"/>
    <w:pPr>
      <w:numPr>
        <w:ilvl w:val="2"/>
      </w:numPr>
      <w:outlineLvl w:val="2"/>
    </w:pPr>
  </w:style>
  <w:style w:type="paragraph" w:styleId="Numbering4" w:customStyle="1">
    <w:name w:val="Numbering 4"/>
    <w:basedOn w:val="Numbering3"/>
    <w:rsid w:val="00EA7265"/>
    <w:pPr>
      <w:numPr>
        <w:ilvl w:val="3"/>
      </w:numPr>
      <w:tabs>
        <w:tab w:val="clear" w:pos="3787"/>
      </w:tabs>
      <w:outlineLvl w:val="3"/>
    </w:pPr>
  </w:style>
  <w:style w:type="paragraph" w:styleId="Numbering5" w:customStyle="1">
    <w:name w:val="Numbering 5"/>
    <w:basedOn w:val="Numbering4"/>
    <w:rsid w:val="00EA7265"/>
    <w:pPr>
      <w:numPr>
        <w:ilvl w:val="4"/>
      </w:numPr>
      <w:outlineLvl w:val="4"/>
    </w:pPr>
  </w:style>
  <w:style w:type="paragraph" w:styleId="Numbering6" w:customStyle="1">
    <w:name w:val="Numbering 6"/>
    <w:basedOn w:val="Numbering5"/>
    <w:rsid w:val="00EA7265"/>
    <w:pPr>
      <w:numPr>
        <w:ilvl w:val="5"/>
      </w:numPr>
      <w:outlineLvl w:val="5"/>
    </w:pPr>
  </w:style>
  <w:style w:type="paragraph" w:styleId="Numbering7" w:customStyle="1">
    <w:name w:val="Numbering 7"/>
    <w:basedOn w:val="Numbering6"/>
    <w:rsid w:val="00EA7265"/>
    <w:pPr>
      <w:numPr>
        <w:ilvl w:val="6"/>
      </w:numPr>
      <w:tabs>
        <w:tab w:val="clear" w:pos="2520"/>
      </w:tabs>
      <w:outlineLvl w:val="6"/>
    </w:pPr>
  </w:style>
  <w:style w:type="paragraph" w:styleId="Numbering8" w:customStyle="1">
    <w:name w:val="Numbering 8"/>
    <w:basedOn w:val="Numbering7"/>
    <w:rsid w:val="00EA7265"/>
    <w:pPr>
      <w:numPr>
        <w:ilvl w:val="7"/>
      </w:numPr>
      <w:outlineLvl w:val="7"/>
    </w:pPr>
  </w:style>
  <w:style w:type="paragraph" w:styleId="Numbering9" w:customStyle="1">
    <w:name w:val="Numbering 9"/>
    <w:basedOn w:val="Numbering8"/>
    <w:rsid w:val="00EA7265"/>
    <w:pPr>
      <w:numPr>
        <w:ilvl w:val="8"/>
      </w:numPr>
      <w:outlineLvl w:val="8"/>
    </w:pPr>
  </w:style>
  <w:style w:type="paragraph" w:styleId="TOCMark1" w:customStyle="1">
    <w:name w:val="TOC Mark 1"/>
    <w:basedOn w:val="Normal"/>
    <w:next w:val="Numbering2"/>
    <w:rsid w:val="00EA7265"/>
    <w:pPr>
      <w:keepNext w:val="1"/>
      <w:numPr>
        <w:numId w:val="9"/>
      </w:numPr>
      <w:tabs>
        <w:tab w:val="left" w:pos="1440"/>
        <w:tab w:val="left" w:pos="2520"/>
        <w:tab w:val="left" w:pos="3787"/>
        <w:tab w:val="left" w:pos="4507"/>
      </w:tabs>
      <w:spacing w:before="240" w:line="360" w:lineRule="auto"/>
      <w:jc w:val="both"/>
      <w:outlineLvl w:val="0"/>
    </w:pPr>
    <w:rPr>
      <w:rFonts w:ascii="Arial" w:cs="Arial" w:eastAsia="Times New Roman" w:hAnsi="Arial"/>
      <w:b w:val="1"/>
      <w:caps w:val="1"/>
      <w:sz w:val="20"/>
      <w:lang w:val="en-GB"/>
    </w:rPr>
  </w:style>
  <w:style w:type="character" w:styleId="Heading1Char" w:customStyle="1">
    <w:name w:val="Heading 1 Char"/>
    <w:basedOn w:val="DefaultParagraphFont"/>
    <w:link w:val="Heading1"/>
    <w:uiPriority w:val="9"/>
    <w:rsid w:val="00663A37"/>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663A37"/>
    <w:rPr>
      <w:rFonts w:asciiTheme="majorHAnsi" w:cstheme="majorBidi" w:eastAsiaTheme="majorEastAsia" w:hAnsiTheme="majorHAnsi"/>
      <w:color w:val="1f4d78" w:themeColor="accent1" w:themeShade="00007F"/>
    </w:rPr>
  </w:style>
  <w:style w:type="table" w:styleId="TableGrid">
    <w:name w:val="Table Grid"/>
    <w:basedOn w:val="TableNormal"/>
    <w:uiPriority w:val="59"/>
    <w:rsid w:val="00663A37"/>
    <w:rPr>
      <w:rFonts w:ascii="Calibri" w:cs="Times New Roman" w:eastAsia="Times New Roman" w:hAnsi="Calibri"/>
      <w:sz w:val="20"/>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63A37"/>
    <w:pPr>
      <w:tabs>
        <w:tab w:val="center" w:pos="4513"/>
        <w:tab w:val="right" w:pos="9026"/>
      </w:tabs>
    </w:pPr>
  </w:style>
  <w:style w:type="character" w:styleId="HeaderChar" w:customStyle="1">
    <w:name w:val="Header Char"/>
    <w:basedOn w:val="DefaultParagraphFont"/>
    <w:link w:val="Header"/>
    <w:uiPriority w:val="99"/>
    <w:rsid w:val="00663A37"/>
  </w:style>
  <w:style w:type="paragraph" w:styleId="Footer">
    <w:name w:val="footer"/>
    <w:basedOn w:val="Normal"/>
    <w:link w:val="FooterChar"/>
    <w:uiPriority w:val="99"/>
    <w:unhideWhenUsed w:val="1"/>
    <w:rsid w:val="00663A37"/>
    <w:pPr>
      <w:tabs>
        <w:tab w:val="center" w:pos="4513"/>
        <w:tab w:val="right" w:pos="9026"/>
      </w:tabs>
    </w:pPr>
  </w:style>
  <w:style w:type="character" w:styleId="FooterChar" w:customStyle="1">
    <w:name w:val="Footer Char"/>
    <w:basedOn w:val="DefaultParagraphFont"/>
    <w:link w:val="Footer"/>
    <w:uiPriority w:val="99"/>
    <w:rsid w:val="00663A37"/>
  </w:style>
  <w:style w:type="character" w:styleId="UnresolvedMention">
    <w:name w:val="Unresolved Mention"/>
    <w:basedOn w:val="DefaultParagraphFont"/>
    <w:uiPriority w:val="99"/>
    <w:rsid w:val="00F66336"/>
    <w:rPr>
      <w:color w:val="605e5c"/>
      <w:shd w:color="auto" w:fill="e1dfdd" w:val="clear"/>
    </w:rPr>
  </w:style>
  <w:style w:type="paragraph" w:styleId="Revision">
    <w:name w:val="Revision"/>
    <w:hidden w:val="1"/>
    <w:uiPriority w:val="99"/>
    <w:semiHidden w:val="1"/>
    <w:rsid w:val="00E62D2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shopwiltonshop@gmail.com" TargetMode="External"/><Relationship Id="rId8" Type="http://schemas.openxmlformats.org/officeDocument/2006/relationships/hyperlink" Target="mailto:bishopwiltonsho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OUkS7caQa10wdAVbg7AcxSMow==">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2025-03-13T09:00:00Z</dcterms:created>
  <dc:creator>Microsoft Office User</dc:creator>
</cp:coreProperties>
</file>